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138F9" w14:textId="77777777" w:rsidR="00291751" w:rsidRDefault="00291751" w:rsidP="00291751">
      <w:pPr>
        <w:pStyle w:val="afc"/>
        <w:spacing w:beforeAutospacing="0" w:after="240" w:afterAutospacing="0" w:line="273" w:lineRule="auto"/>
        <w:jc w:val="right"/>
        <w:rPr>
          <w:rStyle w:val="aff"/>
          <w:rFonts w:eastAsia="Arial"/>
        </w:rPr>
      </w:pPr>
    </w:p>
    <w:p w14:paraId="743398D6" w14:textId="1FEFCE7C" w:rsidR="000A3ED0" w:rsidRDefault="00291751" w:rsidP="00291751">
      <w:pPr>
        <w:pStyle w:val="afc"/>
        <w:spacing w:beforeAutospacing="0" w:after="240" w:afterAutospacing="0" w:line="273" w:lineRule="auto"/>
        <w:jc w:val="right"/>
        <w:rPr>
          <w:rStyle w:val="aff"/>
          <w:rFonts w:eastAsia="Arial"/>
        </w:rPr>
      </w:pPr>
      <w:r>
        <w:rPr>
          <w:rStyle w:val="aff"/>
          <w:rFonts w:eastAsia="Arial"/>
        </w:rPr>
        <w:t>04.03.2026</w:t>
      </w:r>
      <w:r w:rsidR="00773E79">
        <w:rPr>
          <w:rStyle w:val="aff"/>
          <w:rFonts w:eastAsia="Arial"/>
        </w:rPr>
        <w:t xml:space="preserve">                                                                       </w:t>
      </w:r>
    </w:p>
    <w:p w14:paraId="41D7D963" w14:textId="7380A201" w:rsidR="003771F0" w:rsidRDefault="0092061E" w:rsidP="003771F0">
      <w:pPr>
        <w:pStyle w:val="afc"/>
        <w:spacing w:beforeAutospacing="0" w:after="240" w:afterAutospacing="0" w:line="273" w:lineRule="auto"/>
        <w:ind w:firstLine="709"/>
        <w:jc w:val="center"/>
        <w:rPr>
          <w:rStyle w:val="aff"/>
          <w:rFonts w:eastAsia="Arial"/>
        </w:rPr>
      </w:pPr>
      <w:r w:rsidRPr="0092061E">
        <w:rPr>
          <w:b/>
        </w:rPr>
        <w:t xml:space="preserve">Предпринимателям в моногородах и </w:t>
      </w:r>
      <w:r w:rsidRPr="0092061E">
        <w:rPr>
          <w:b/>
          <w:color w:val="000000"/>
        </w:rPr>
        <w:t>особых экономических зонах</w:t>
      </w:r>
      <w:r w:rsidR="00414A54">
        <w:rPr>
          <w:b/>
          <w:color w:val="000000"/>
        </w:rPr>
        <w:t xml:space="preserve"> </w:t>
      </w:r>
      <w:r w:rsidRPr="0092061E">
        <w:rPr>
          <w:b/>
          <w:color w:val="000000"/>
        </w:rPr>
        <w:t xml:space="preserve">края </w:t>
      </w:r>
      <w:r w:rsidR="003771F0" w:rsidRPr="0092061E">
        <w:rPr>
          <w:rStyle w:val="aff"/>
          <w:rFonts w:eastAsia="Arial"/>
        </w:rPr>
        <w:t>доступны</w:t>
      </w:r>
      <w:r w:rsidR="003771F0">
        <w:rPr>
          <w:rStyle w:val="aff"/>
          <w:rFonts w:eastAsia="Arial"/>
        </w:rPr>
        <w:t xml:space="preserve"> льготные займы до 200 млн рублей</w:t>
      </w:r>
    </w:p>
    <w:p w14:paraId="10BB8242" w14:textId="61B8149E" w:rsidR="003771F0" w:rsidRPr="00F01225" w:rsidRDefault="003771F0" w:rsidP="003771F0">
      <w:pPr>
        <w:pStyle w:val="ds-markdown-paragraph"/>
        <w:spacing w:before="0" w:beforeAutospacing="0" w:after="0" w:afterAutospacing="0"/>
        <w:ind w:firstLine="709"/>
        <w:jc w:val="both"/>
        <w:rPr>
          <w:b/>
        </w:rPr>
      </w:pPr>
      <w:r>
        <w:t xml:space="preserve">Малый и средний бизнес в моногородах и </w:t>
      </w:r>
      <w:r w:rsidRPr="001641A6">
        <w:rPr>
          <w:color w:val="000000"/>
        </w:rPr>
        <w:t>особых экономических зонах (ОЭЗ)</w:t>
      </w:r>
      <w:r>
        <w:rPr>
          <w:color w:val="000000"/>
        </w:rPr>
        <w:t xml:space="preserve"> </w:t>
      </w:r>
      <w:r>
        <w:t xml:space="preserve">Красноярского края может получить финансовую поддержку. В рамках совместной программы Минэкономразвития России и Корпорации МСП на льготные займы и банковские гарантии </w:t>
      </w:r>
      <w:r w:rsidR="00B7310A">
        <w:t xml:space="preserve">для </w:t>
      </w:r>
      <w:r w:rsidR="00B7310A" w:rsidRPr="00B7310A">
        <w:t xml:space="preserve">26 моногородов и 28 ОЭЗ </w:t>
      </w:r>
      <w:r>
        <w:t xml:space="preserve">в 2026 году предусмотрено около миллиарда рублей. </w:t>
      </w:r>
      <w:r>
        <w:rPr>
          <w:color w:val="000000"/>
        </w:rPr>
        <w:t>М</w:t>
      </w:r>
      <w:r w:rsidRPr="001641A6">
        <w:rPr>
          <w:color w:val="000000"/>
        </w:rPr>
        <w:t xml:space="preserve">аксимальная сумма финансирования на инвестиционные цели </w:t>
      </w:r>
      <w:r>
        <w:t xml:space="preserve">для одного предприятия </w:t>
      </w:r>
      <w:r w:rsidRPr="001641A6">
        <w:rPr>
          <w:color w:val="000000"/>
        </w:rPr>
        <w:t>составляет 200 млн рублей.</w:t>
      </w:r>
    </w:p>
    <w:p w14:paraId="3B193508" w14:textId="1238022B" w:rsidR="00C9094A" w:rsidRDefault="0045133A" w:rsidP="0045133A">
      <w:pPr>
        <w:pStyle w:val="ds-markdown-paragraph"/>
        <w:spacing w:before="0" w:beforeAutospacing="0" w:after="0" w:afterAutospacing="0"/>
        <w:ind w:firstLine="709"/>
        <w:jc w:val="both"/>
      </w:pPr>
      <w:r>
        <w:t>В Красноярском крае участником программы стал город Бородино,</w:t>
      </w:r>
      <w:r w:rsidRPr="0045133A">
        <w:t xml:space="preserve"> </w:t>
      </w:r>
      <w:r>
        <w:t>предприниматели которого уже получили по программе кредитные средства в объеме 16,5 млн рублей.</w:t>
      </w:r>
    </w:p>
    <w:p w14:paraId="6073D855" w14:textId="12191587" w:rsidR="003771F0" w:rsidRDefault="003771F0" w:rsidP="00C9094A">
      <w:pPr>
        <w:pStyle w:val="ds-markdown-paragraph"/>
        <w:spacing w:before="0" w:beforeAutospacing="0" w:after="0" w:afterAutospacing="0"/>
        <w:ind w:firstLine="709"/>
        <w:jc w:val="both"/>
      </w:pPr>
      <w:r w:rsidRPr="0011409D">
        <w:rPr>
          <w:i/>
        </w:rPr>
        <w:t xml:space="preserve">«Программа льготного кредитования – это мера для создания новых точек экономического роста в моногородах и особых экономических зонах. </w:t>
      </w:r>
      <w:r w:rsidR="00291751">
        <w:rPr>
          <w:i/>
        </w:rPr>
        <w:t>П</w:t>
      </w:r>
      <w:r w:rsidRPr="0011409D">
        <w:rPr>
          <w:i/>
        </w:rPr>
        <w:t xml:space="preserve">оддержка сфокусирована на секторе производства, логистики, </w:t>
      </w:r>
      <w:r>
        <w:rPr>
          <w:i/>
        </w:rPr>
        <w:t xml:space="preserve">а также </w:t>
      </w:r>
      <w:r w:rsidRPr="0011409D">
        <w:rPr>
          <w:i/>
        </w:rPr>
        <w:t xml:space="preserve">научно-технической сфере. </w:t>
      </w:r>
      <w:r w:rsidRPr="00814F38">
        <w:rPr>
          <w:i/>
        </w:rPr>
        <w:t xml:space="preserve">Для Красноярского края с его промышленным и ресурсным потенциалом </w:t>
      </w:r>
      <w:r w:rsidR="00DE2992">
        <w:rPr>
          <w:i/>
        </w:rPr>
        <w:t xml:space="preserve">– </w:t>
      </w:r>
      <w:r w:rsidRPr="00814F38">
        <w:rPr>
          <w:i/>
        </w:rPr>
        <w:t xml:space="preserve">это возможность для малого и среднего бизнеса стать частью крупных производственных цепочек или запустить новые </w:t>
      </w:r>
      <w:r>
        <w:rPr>
          <w:i/>
        </w:rPr>
        <w:t>проекты</w:t>
      </w:r>
      <w:r w:rsidRPr="0011409D">
        <w:rPr>
          <w:i/>
        </w:rPr>
        <w:t>»,</w:t>
      </w:r>
      <w:r>
        <w:t xml:space="preserve"> – отметил руководитель агентства развития малого и среднего предпринимательства Красноярского края Роман Мартынов.</w:t>
      </w:r>
    </w:p>
    <w:p w14:paraId="573F1CBA" w14:textId="721BE12A" w:rsidR="003771F0" w:rsidRDefault="003771F0" w:rsidP="003771F0">
      <w:pPr>
        <w:pStyle w:val="ds-markdown-paragraph"/>
        <w:spacing w:before="0" w:beforeAutospacing="0" w:after="0" w:afterAutospacing="0"/>
        <w:ind w:firstLine="709"/>
        <w:jc w:val="both"/>
      </w:pPr>
      <w:r>
        <w:t>Стартовавшая в декабре 2025 года программа уже доказала свою эффективность: предприятия из моногородов по всей России привлекли 214 млн рублей и получили банковские гарантии на 1</w:t>
      </w:r>
      <w:r w:rsidR="00E75657">
        <w:t>64</w:t>
      </w:r>
      <w:r>
        <w:t xml:space="preserve"> млн рублей.</w:t>
      </w:r>
    </w:p>
    <w:p w14:paraId="2B3E0255" w14:textId="6A494C53" w:rsidR="003771F0" w:rsidRDefault="00D85806" w:rsidP="003771F0">
      <w:pPr>
        <w:pStyle w:val="afc"/>
        <w:spacing w:before="0" w:beforeAutospacing="0" w:after="0" w:afterAutospacing="0"/>
        <w:ind w:firstLine="709"/>
        <w:jc w:val="both"/>
        <w:rPr>
          <w:bCs/>
        </w:rPr>
      </w:pPr>
      <w:r w:rsidRPr="00E75657">
        <w:t xml:space="preserve">Оператором программы выступает дочерний банк Корпорации МСП — МСП Банк. Подать заявку на получение льготного кредита можно на Цифровой платформе </w:t>
      </w:r>
      <w:hyperlink r:id="rId7" w:history="1">
        <w:r w:rsidRPr="00E75657">
          <w:rPr>
            <w:rStyle w:val="afa"/>
          </w:rPr>
          <w:t>МСП.РФ</w:t>
        </w:r>
      </w:hyperlink>
      <w:r w:rsidR="003771F0" w:rsidRPr="00E75657">
        <w:t xml:space="preserve">. </w:t>
      </w:r>
      <w:r w:rsidR="00A27095">
        <w:t xml:space="preserve">Платформа работает в рамках нацпроекта </w:t>
      </w:r>
      <w:r w:rsidR="00A27095" w:rsidRPr="00A27095">
        <w:rPr>
          <w:b/>
        </w:rPr>
        <w:t>«Эффективная и конкурентная экономика»</w:t>
      </w:r>
      <w:r w:rsidR="00A27095">
        <w:t>.  </w:t>
      </w:r>
    </w:p>
    <w:p w14:paraId="04EC4CE7" w14:textId="7C52E98F" w:rsidR="003771F0" w:rsidRPr="00175262" w:rsidRDefault="003771F0" w:rsidP="003771F0">
      <w:pPr>
        <w:spacing w:after="0" w:line="240" w:lineRule="auto"/>
        <w:ind w:firstLine="708"/>
        <w:jc w:val="both"/>
        <w:rPr>
          <w:rFonts w:ascii="Times New Roman" w:eastAsia="Times New Roman" w:hAnsi="Times New Roman" w:cs="Times New Roman"/>
          <w:sz w:val="24"/>
          <w:szCs w:val="24"/>
          <w:lang w:eastAsia="ru-RU"/>
        </w:rPr>
      </w:pPr>
      <w:r w:rsidRPr="003E0E61">
        <w:rPr>
          <w:rFonts w:ascii="Times New Roman" w:eastAsia="Times New Roman" w:hAnsi="Times New Roman" w:cs="Times New Roman"/>
          <w:sz w:val="24"/>
          <w:szCs w:val="24"/>
          <w:lang w:eastAsia="ru-RU"/>
        </w:rPr>
        <w:t>Также</w:t>
      </w:r>
      <w:r w:rsidRPr="003E0E61">
        <w:rPr>
          <w:i/>
          <w:color w:val="000000"/>
        </w:rPr>
        <w:t xml:space="preserve"> </w:t>
      </w:r>
      <w:r w:rsidRPr="003E0E61">
        <w:rPr>
          <w:rFonts w:ascii="Times New Roman" w:hAnsi="Times New Roman" w:cs="Times New Roman"/>
          <w:iCs/>
          <w:color w:val="000000"/>
          <w:sz w:val="24"/>
          <w:szCs w:val="24"/>
        </w:rPr>
        <w:t xml:space="preserve">предприниматели </w:t>
      </w:r>
      <w:r w:rsidR="00291751">
        <w:rPr>
          <w:rFonts w:ascii="Times New Roman" w:hAnsi="Times New Roman" w:cs="Times New Roman"/>
          <w:iCs/>
          <w:color w:val="000000"/>
          <w:sz w:val="24"/>
          <w:szCs w:val="24"/>
        </w:rPr>
        <w:t>региона</w:t>
      </w:r>
      <w:r w:rsidRPr="003E0E61">
        <w:rPr>
          <w:rFonts w:ascii="Times New Roman" w:hAnsi="Times New Roman" w:cs="Times New Roman"/>
          <w:iCs/>
          <w:color w:val="000000"/>
          <w:sz w:val="24"/>
          <w:szCs w:val="24"/>
        </w:rPr>
        <w:t xml:space="preserve"> могут получить </w:t>
      </w:r>
      <w:proofErr w:type="spellStart"/>
      <w:r w:rsidRPr="003E0E61">
        <w:rPr>
          <w:rFonts w:ascii="Times New Roman" w:hAnsi="Times New Roman" w:cs="Times New Roman"/>
          <w:iCs/>
          <w:color w:val="000000"/>
          <w:sz w:val="24"/>
          <w:szCs w:val="24"/>
        </w:rPr>
        <w:t>микрозаем</w:t>
      </w:r>
      <w:proofErr w:type="spellEnd"/>
      <w:r w:rsidRPr="003E0E61">
        <w:rPr>
          <w:rFonts w:ascii="Times New Roman" w:hAnsi="Times New Roman" w:cs="Times New Roman"/>
          <w:iCs/>
          <w:color w:val="000000"/>
          <w:sz w:val="24"/>
          <w:szCs w:val="24"/>
        </w:rPr>
        <w:t xml:space="preserve"> на развитие </w:t>
      </w:r>
      <w:r w:rsidRPr="00175262">
        <w:rPr>
          <w:rFonts w:ascii="Times New Roman" w:hAnsi="Times New Roman" w:cs="Times New Roman"/>
          <w:iCs/>
          <w:color w:val="000000"/>
          <w:sz w:val="24"/>
          <w:szCs w:val="24"/>
        </w:rPr>
        <w:t>предпринимательской деятельности до 5 млн рублей по ставке от 8% годовы</w:t>
      </w:r>
      <w:bookmarkStart w:id="0" w:name="_GoBack"/>
      <w:bookmarkEnd w:id="0"/>
      <w:r w:rsidRPr="00175262">
        <w:rPr>
          <w:rFonts w:ascii="Times New Roman" w:hAnsi="Times New Roman" w:cs="Times New Roman"/>
          <w:iCs/>
          <w:color w:val="000000"/>
          <w:sz w:val="24"/>
          <w:szCs w:val="24"/>
        </w:rPr>
        <w:t>х.</w:t>
      </w:r>
      <w:r w:rsidRPr="00175262">
        <w:rPr>
          <w:rFonts w:ascii="Times New Roman" w:hAnsi="Times New Roman" w:cs="Times New Roman"/>
          <w:i/>
          <w:color w:val="000000"/>
          <w:sz w:val="24"/>
          <w:szCs w:val="24"/>
        </w:rPr>
        <w:t xml:space="preserve"> </w:t>
      </w:r>
      <w:r w:rsidRPr="00175262">
        <w:rPr>
          <w:rFonts w:ascii="Times New Roman" w:eastAsia="Times New Roman" w:hAnsi="Times New Roman" w:cs="Times New Roman"/>
          <w:sz w:val="24"/>
          <w:szCs w:val="24"/>
          <w:lang w:eastAsia="ru-RU"/>
        </w:rPr>
        <w:t xml:space="preserve">Подробная информация об условиях получения </w:t>
      </w:r>
      <w:proofErr w:type="spellStart"/>
      <w:r w:rsidRPr="00175262">
        <w:rPr>
          <w:rFonts w:ascii="Times New Roman" w:eastAsia="Times New Roman" w:hAnsi="Times New Roman" w:cs="Times New Roman"/>
          <w:sz w:val="24"/>
          <w:szCs w:val="24"/>
          <w:lang w:eastAsia="ru-RU"/>
        </w:rPr>
        <w:t>микрозаймов</w:t>
      </w:r>
      <w:proofErr w:type="spellEnd"/>
      <w:r w:rsidRPr="00175262">
        <w:rPr>
          <w:rFonts w:ascii="Times New Roman" w:eastAsia="Times New Roman" w:hAnsi="Times New Roman" w:cs="Times New Roman"/>
          <w:sz w:val="24"/>
          <w:szCs w:val="24"/>
          <w:lang w:eastAsia="ru-RU"/>
        </w:rPr>
        <w:t xml:space="preserve"> размещена </w:t>
      </w:r>
      <w:hyperlink r:id="rId8" w:history="1">
        <w:r w:rsidRPr="008C0577">
          <w:rPr>
            <w:rStyle w:val="afa"/>
            <w:rFonts w:ascii="Times New Roman" w:eastAsia="Times New Roman" w:hAnsi="Times New Roman" w:cs="Times New Roman"/>
            <w:sz w:val="24"/>
            <w:szCs w:val="24"/>
            <w:lang w:eastAsia="ru-RU"/>
          </w:rPr>
          <w:t>на сайте</w:t>
        </w:r>
      </w:hyperlink>
      <w:r w:rsidRPr="00175262">
        <w:rPr>
          <w:rFonts w:ascii="Times New Roman" w:eastAsia="Times New Roman" w:hAnsi="Times New Roman" w:cs="Times New Roman"/>
          <w:sz w:val="24"/>
          <w:szCs w:val="24"/>
          <w:lang w:eastAsia="ru-RU"/>
        </w:rPr>
        <w:t xml:space="preserve"> регионального центра «Мой бизнес</w:t>
      </w:r>
      <w:r w:rsidR="008C0577">
        <w:rPr>
          <w:rFonts w:ascii="Times New Roman" w:eastAsia="Times New Roman" w:hAnsi="Times New Roman" w:cs="Times New Roman"/>
          <w:sz w:val="24"/>
          <w:szCs w:val="24"/>
          <w:lang w:eastAsia="ru-RU"/>
        </w:rPr>
        <w:t xml:space="preserve">». </w:t>
      </w:r>
      <w:r w:rsidR="008C0577">
        <w:rPr>
          <w:rStyle w:val="afa"/>
          <w:rFonts w:ascii="Times New Roman" w:hAnsi="Times New Roman" w:cs="Times New Roman"/>
          <w:iCs/>
          <w:sz w:val="24"/>
          <w:szCs w:val="24"/>
        </w:rPr>
        <w:t xml:space="preserve"> </w:t>
      </w:r>
    </w:p>
    <w:p w14:paraId="784EDB1C" w14:textId="77777777" w:rsidR="003771F0" w:rsidRPr="00175262" w:rsidRDefault="003771F0" w:rsidP="003771F0">
      <w:pPr>
        <w:pStyle w:val="afc"/>
        <w:spacing w:before="0" w:beforeAutospacing="0" w:afterAutospacing="0"/>
        <w:ind w:firstLine="709"/>
        <w:jc w:val="both"/>
        <w:rPr>
          <w:i/>
          <w:color w:val="000000"/>
        </w:rPr>
      </w:pPr>
    </w:p>
    <w:p w14:paraId="0438ACEC" w14:textId="77777777" w:rsidR="003771F0" w:rsidRPr="006A36EE" w:rsidRDefault="003771F0" w:rsidP="003771F0">
      <w:pPr>
        <w:pStyle w:val="afc"/>
        <w:spacing w:before="0" w:beforeAutospacing="0" w:afterAutospacing="0"/>
        <w:ind w:firstLine="709"/>
        <w:jc w:val="both"/>
        <w:rPr>
          <w:bCs/>
          <w:i/>
          <w:iCs/>
        </w:rPr>
      </w:pPr>
      <w:r w:rsidRPr="006A36EE">
        <w:rPr>
          <w:bCs/>
          <w:i/>
          <w:iCs/>
          <w:color w:val="000000"/>
        </w:rPr>
        <w:t>Для справки</w:t>
      </w:r>
    </w:p>
    <w:p w14:paraId="0D4E9502" w14:textId="77777777" w:rsidR="003771F0" w:rsidRDefault="003771F0" w:rsidP="003771F0">
      <w:pPr>
        <w:pStyle w:val="afc"/>
        <w:spacing w:beforeAutospacing="0" w:after="0" w:afterAutospacing="0"/>
        <w:ind w:firstLine="709"/>
        <w:jc w:val="both"/>
        <w:rPr>
          <w:color w:val="000000"/>
        </w:rPr>
      </w:pPr>
      <w:r>
        <w:t xml:space="preserve">Программа льготного кредитования Минэкономразвития России и Корпорации МСП предназначена для поддержки малого и среднего бизнеса в моногородах, а также в особых экономических зонах. </w:t>
      </w:r>
      <w:r>
        <w:rPr>
          <w:color w:val="000000"/>
        </w:rPr>
        <w:t>М</w:t>
      </w:r>
      <w:r w:rsidRPr="001641A6">
        <w:rPr>
          <w:color w:val="000000"/>
        </w:rPr>
        <w:t>аксимальная льготная сумма финансирования на инвестиционные цели составляет 200 млн рублей на срок до пяти лет. Для оборотных целей доступны кредиты до 50 млн рублей на три года. Резиденты ОЭЗ могут привлечь до 200 млн рублей на инвестиционные цели на срок до пяти лет.</w:t>
      </w:r>
    </w:p>
    <w:p w14:paraId="1AB714D7" w14:textId="77777777" w:rsidR="003771F0" w:rsidRDefault="003771F0" w:rsidP="003771F0">
      <w:pPr>
        <w:pStyle w:val="afc"/>
        <w:spacing w:beforeAutospacing="0" w:after="0" w:afterAutospacing="0"/>
        <w:ind w:firstLine="709"/>
        <w:jc w:val="both"/>
      </w:pPr>
    </w:p>
    <w:p w14:paraId="7CA74EE6" w14:textId="77777777" w:rsidR="003771F0" w:rsidRPr="0011409D" w:rsidRDefault="003771F0" w:rsidP="003771F0">
      <w:pPr>
        <w:pStyle w:val="afc"/>
        <w:spacing w:beforeAutospacing="0" w:after="0" w:afterAutospacing="0"/>
        <w:jc w:val="both"/>
      </w:pPr>
    </w:p>
    <w:p w14:paraId="1B5DD029" w14:textId="6EF69F70" w:rsidR="003771F0" w:rsidRPr="0081328A" w:rsidRDefault="003771F0" w:rsidP="003771F0">
      <w:pPr>
        <w:spacing w:after="0" w:line="240" w:lineRule="auto"/>
        <w:ind w:firstLine="709"/>
        <w:jc w:val="both"/>
        <w:rPr>
          <w:rFonts w:ascii="Times New Roman" w:hAnsi="Times New Roman" w:cs="Times New Roman"/>
          <w:i/>
          <w:sz w:val="24"/>
          <w:szCs w:val="24"/>
        </w:rPr>
      </w:pPr>
      <w:r w:rsidRPr="001641A6">
        <w:rPr>
          <w:rFonts w:ascii="Times New Roman" w:hAnsi="Times New Roman" w:cs="Times New Roman"/>
          <w:bCs/>
          <w:i/>
          <w:iCs/>
          <w:sz w:val="24"/>
          <w:szCs w:val="24"/>
        </w:rPr>
        <w:t xml:space="preserve">Дополнительная информация для СМИ: </w:t>
      </w:r>
      <w:r w:rsidRPr="001641A6">
        <w:rPr>
          <w:rFonts w:ascii="Times New Roman" w:hAnsi="Times New Roman" w:cs="Times New Roman"/>
          <w:i/>
          <w:sz w:val="24"/>
          <w:szCs w:val="24"/>
        </w:rPr>
        <w:t>+ 7 (391) 222-55-03, пресс-служба агентства развития малого и среднего предпринимательства Красноярского края</w:t>
      </w:r>
      <w:r w:rsidR="006A4D81">
        <w:rPr>
          <w:rFonts w:ascii="Times New Roman" w:hAnsi="Times New Roman" w:cs="Times New Roman"/>
          <w:i/>
          <w:sz w:val="24"/>
          <w:szCs w:val="24"/>
        </w:rPr>
        <w:t xml:space="preserve">. </w:t>
      </w:r>
    </w:p>
    <w:p w14:paraId="19AEFEA6" w14:textId="0BFF7308" w:rsidR="00D9650E" w:rsidRPr="003A2184" w:rsidRDefault="00D9650E" w:rsidP="000427CB">
      <w:pPr>
        <w:spacing w:after="0" w:line="240" w:lineRule="auto"/>
        <w:rPr>
          <w:rFonts w:ascii="Times New Roman" w:hAnsi="Times New Roman" w:cs="Times New Roman"/>
          <w:i/>
          <w:iCs/>
          <w:sz w:val="24"/>
          <w:szCs w:val="24"/>
          <w14:ligatures w14:val="standardContextual"/>
        </w:rPr>
      </w:pPr>
    </w:p>
    <w:sectPr w:rsidR="00D9650E" w:rsidRPr="003A2184">
      <w:head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C9A8E7" w14:textId="77777777" w:rsidR="003A27C2" w:rsidRDefault="003A27C2">
      <w:pPr>
        <w:spacing w:after="0" w:line="240" w:lineRule="auto"/>
      </w:pPr>
      <w:r>
        <w:separator/>
      </w:r>
    </w:p>
  </w:endnote>
  <w:endnote w:type="continuationSeparator" w:id="0">
    <w:p w14:paraId="30D32018" w14:textId="77777777" w:rsidR="003A27C2" w:rsidRDefault="003A2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135FAD" w14:textId="77777777" w:rsidR="003A27C2" w:rsidRDefault="003A27C2">
      <w:pPr>
        <w:spacing w:after="0" w:line="240" w:lineRule="auto"/>
      </w:pPr>
      <w:r>
        <w:separator/>
      </w:r>
    </w:p>
  </w:footnote>
  <w:footnote w:type="continuationSeparator" w:id="0">
    <w:p w14:paraId="361E3B61" w14:textId="77777777" w:rsidR="003A27C2" w:rsidRDefault="003A27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482EB" w14:textId="77777777" w:rsidR="009B5349" w:rsidRDefault="000C61EE">
    <w:pPr>
      <w:pStyle w:val="af6"/>
    </w:pPr>
    <w:r>
      <w:rPr>
        <w:noProof/>
        <w:lang w:eastAsia="ru-RU"/>
      </w:rPr>
      <w:drawing>
        <wp:anchor distT="0" distB="0" distL="114300" distR="114300" simplePos="0" relativeHeight="251662336" behindDoc="1" locked="0" layoutInCell="1" allowOverlap="1" wp14:anchorId="243120E9" wp14:editId="4C1339BB">
          <wp:simplePos x="0" y="0"/>
          <wp:positionH relativeFrom="column">
            <wp:posOffset>4063365</wp:posOffset>
          </wp:positionH>
          <wp:positionV relativeFrom="paragraph">
            <wp:posOffset>-278130</wp:posOffset>
          </wp:positionV>
          <wp:extent cx="1371600" cy="1371600"/>
          <wp:effectExtent l="0" t="0" r="0" b="0"/>
          <wp:wrapTight wrapText="bothSides">
            <wp:wrapPolygon edited="1">
              <wp:start x="18164" y="4909"/>
              <wp:lineTo x="7364" y="6873"/>
              <wp:lineTo x="1964" y="8100"/>
              <wp:lineTo x="2209" y="13255"/>
              <wp:lineTo x="10064" y="14727"/>
              <wp:lineTo x="10800" y="15218"/>
              <wp:lineTo x="12027" y="15218"/>
              <wp:lineTo x="13991" y="14727"/>
              <wp:lineTo x="14727" y="14236"/>
              <wp:lineTo x="14236" y="13255"/>
              <wp:lineTo x="16936" y="13255"/>
              <wp:lineTo x="19391" y="11291"/>
              <wp:lineTo x="19636" y="4909"/>
              <wp:lineTo x="18164" y="4909"/>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3979" name="Рисунок 60313979"/>
                  <pic:cNvPicPr>
                    <a:picLocks noChangeAspect="1"/>
                  </pic:cNvPicPr>
                </pic:nvPicPr>
                <pic:blipFill>
                  <a:blip r:embed="rId1"/>
                  <a:stretch/>
                </pic:blipFill>
                <pic:spPr bwMode="auto">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8240" behindDoc="0" locked="0" layoutInCell="1" allowOverlap="1" wp14:anchorId="1F59B687" wp14:editId="4FBC0FBD">
          <wp:simplePos x="0" y="0"/>
          <wp:positionH relativeFrom="page">
            <wp:align>center</wp:align>
          </wp:positionH>
          <wp:positionV relativeFrom="paragraph">
            <wp:posOffset>41275</wp:posOffset>
          </wp:positionV>
          <wp:extent cx="1539240" cy="608330"/>
          <wp:effectExtent l="0" t="0" r="3810" b="1270"/>
          <wp:wrapSquare wrapText="bothSides"/>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42269" name="Рисунок 1036142269"/>
                  <pic:cNvPicPr>
                    <a:picLocks noChangeAspect="1"/>
                  </pic:cNvPicPr>
                </pic:nvPicPr>
                <pic:blipFill>
                  <a:blip r:embed="rId2"/>
                  <a:stretch/>
                </pic:blipFill>
                <pic:spPr bwMode="auto">
                  <a:xfrm>
                    <a:off x="0" y="0"/>
                    <a:ext cx="1539240" cy="608330"/>
                  </a:xfrm>
                  <a:prstGeom prst="rect">
                    <a:avLst/>
                  </a:prstGeom>
                </pic:spPr>
              </pic:pic>
            </a:graphicData>
          </a:graphic>
        </wp:anchor>
      </w:drawing>
    </w:r>
    <w:r>
      <w:rPr>
        <w:rFonts w:ascii="Times New Roman" w:hAnsi="Times New Roman" w:cs="Times New Roman"/>
        <w:b/>
        <w:bCs/>
        <w:noProof/>
        <w:sz w:val="24"/>
        <w:szCs w:val="24"/>
        <w:lang w:eastAsia="ru-RU"/>
      </w:rPr>
      <w:drawing>
        <wp:anchor distT="0" distB="0" distL="114300" distR="114300" simplePos="0" relativeHeight="251661312" behindDoc="0" locked="0" layoutInCell="1" allowOverlap="1" wp14:anchorId="7CB4B66D" wp14:editId="3BC75B99">
          <wp:simplePos x="0" y="0"/>
          <wp:positionH relativeFrom="margin">
            <wp:posOffset>300990</wp:posOffset>
          </wp:positionH>
          <wp:positionV relativeFrom="paragraph">
            <wp:posOffset>7620</wp:posOffset>
          </wp:positionV>
          <wp:extent cx="971550" cy="72517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3"/>
                  <a:stretch/>
                </pic:blipFill>
                <pic:spPr bwMode="auto">
                  <a:xfrm>
                    <a:off x="0" y="0"/>
                    <a:ext cx="971550" cy="725170"/>
                  </a:xfrm>
                  <a:prstGeom prst="rect">
                    <a:avLst/>
                  </a:prstGeom>
                </pic:spPr>
              </pic:pic>
            </a:graphicData>
          </a:graphic>
          <wp14:sizeRelH relativeFrom="margin">
            <wp14:pctWidth>0</wp14:pctWidth>
          </wp14:sizeRelH>
          <wp14:sizeRelV relativeFrom="margin">
            <wp14:pctHeight>0</wp14:pctHeight>
          </wp14:sizeRelV>
        </wp:anchor>
      </w:drawing>
    </w:r>
  </w:p>
  <w:p w14:paraId="598F6C07" w14:textId="77777777" w:rsidR="009B5349" w:rsidRDefault="009B5349">
    <w:pPr>
      <w:pStyle w:val="af6"/>
    </w:pPr>
  </w:p>
  <w:p w14:paraId="6E302FA4" w14:textId="77777777" w:rsidR="009B5349" w:rsidRDefault="009B5349">
    <w:pPr>
      <w:pStyle w:val="af6"/>
    </w:pPr>
  </w:p>
  <w:p w14:paraId="49A0A462" w14:textId="77777777" w:rsidR="009B5349" w:rsidRDefault="009B5349">
    <w:pPr>
      <w:pStyle w:val="af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66050"/>
    <w:multiLevelType w:val="hybridMultilevel"/>
    <w:tmpl w:val="4266D1B2"/>
    <w:lvl w:ilvl="0" w:tplc="544691D4">
      <w:start w:val="1"/>
      <w:numFmt w:val="bullet"/>
      <w:lvlText w:val=""/>
      <w:lvlJc w:val="left"/>
      <w:pPr>
        <w:tabs>
          <w:tab w:val="num" w:pos="720"/>
        </w:tabs>
        <w:ind w:left="720" w:hanging="360"/>
      </w:pPr>
      <w:rPr>
        <w:rFonts w:ascii="Symbol" w:hAnsi="Symbol" w:hint="default"/>
        <w:sz w:val="20"/>
      </w:rPr>
    </w:lvl>
    <w:lvl w:ilvl="1" w:tplc="E95278AC">
      <w:start w:val="1"/>
      <w:numFmt w:val="bullet"/>
      <w:lvlText w:val="o"/>
      <w:lvlJc w:val="left"/>
      <w:pPr>
        <w:tabs>
          <w:tab w:val="num" w:pos="1440"/>
        </w:tabs>
        <w:ind w:left="1440" w:hanging="360"/>
      </w:pPr>
      <w:rPr>
        <w:rFonts w:ascii="Courier New" w:hAnsi="Courier New" w:hint="default"/>
        <w:sz w:val="20"/>
      </w:rPr>
    </w:lvl>
    <w:lvl w:ilvl="2" w:tplc="F0581A6A">
      <w:start w:val="1"/>
      <w:numFmt w:val="bullet"/>
      <w:lvlText w:val=""/>
      <w:lvlJc w:val="left"/>
      <w:pPr>
        <w:tabs>
          <w:tab w:val="num" w:pos="2160"/>
        </w:tabs>
        <w:ind w:left="2160" w:hanging="360"/>
      </w:pPr>
      <w:rPr>
        <w:rFonts w:ascii="Wingdings" w:hAnsi="Wingdings" w:hint="default"/>
        <w:sz w:val="20"/>
      </w:rPr>
    </w:lvl>
    <w:lvl w:ilvl="3" w:tplc="DCBEFD48">
      <w:start w:val="1"/>
      <w:numFmt w:val="bullet"/>
      <w:lvlText w:val=""/>
      <w:lvlJc w:val="left"/>
      <w:pPr>
        <w:tabs>
          <w:tab w:val="num" w:pos="2880"/>
        </w:tabs>
        <w:ind w:left="2880" w:hanging="360"/>
      </w:pPr>
      <w:rPr>
        <w:rFonts w:ascii="Wingdings" w:hAnsi="Wingdings" w:hint="default"/>
        <w:sz w:val="20"/>
      </w:rPr>
    </w:lvl>
    <w:lvl w:ilvl="4" w:tplc="3732021E">
      <w:start w:val="1"/>
      <w:numFmt w:val="bullet"/>
      <w:lvlText w:val=""/>
      <w:lvlJc w:val="left"/>
      <w:pPr>
        <w:tabs>
          <w:tab w:val="num" w:pos="3600"/>
        </w:tabs>
        <w:ind w:left="3600" w:hanging="360"/>
      </w:pPr>
      <w:rPr>
        <w:rFonts w:ascii="Wingdings" w:hAnsi="Wingdings" w:hint="default"/>
        <w:sz w:val="20"/>
      </w:rPr>
    </w:lvl>
    <w:lvl w:ilvl="5" w:tplc="A63CDD2E">
      <w:start w:val="1"/>
      <w:numFmt w:val="bullet"/>
      <w:lvlText w:val=""/>
      <w:lvlJc w:val="left"/>
      <w:pPr>
        <w:tabs>
          <w:tab w:val="num" w:pos="4320"/>
        </w:tabs>
        <w:ind w:left="4320" w:hanging="360"/>
      </w:pPr>
      <w:rPr>
        <w:rFonts w:ascii="Wingdings" w:hAnsi="Wingdings" w:hint="default"/>
        <w:sz w:val="20"/>
      </w:rPr>
    </w:lvl>
    <w:lvl w:ilvl="6" w:tplc="CF047312">
      <w:start w:val="1"/>
      <w:numFmt w:val="bullet"/>
      <w:lvlText w:val=""/>
      <w:lvlJc w:val="left"/>
      <w:pPr>
        <w:tabs>
          <w:tab w:val="num" w:pos="5040"/>
        </w:tabs>
        <w:ind w:left="5040" w:hanging="360"/>
      </w:pPr>
      <w:rPr>
        <w:rFonts w:ascii="Wingdings" w:hAnsi="Wingdings" w:hint="default"/>
        <w:sz w:val="20"/>
      </w:rPr>
    </w:lvl>
    <w:lvl w:ilvl="7" w:tplc="0D90A71E">
      <w:start w:val="1"/>
      <w:numFmt w:val="bullet"/>
      <w:lvlText w:val=""/>
      <w:lvlJc w:val="left"/>
      <w:pPr>
        <w:tabs>
          <w:tab w:val="num" w:pos="5760"/>
        </w:tabs>
        <w:ind w:left="5760" w:hanging="360"/>
      </w:pPr>
      <w:rPr>
        <w:rFonts w:ascii="Wingdings" w:hAnsi="Wingdings" w:hint="default"/>
        <w:sz w:val="20"/>
      </w:rPr>
    </w:lvl>
    <w:lvl w:ilvl="8" w:tplc="C158D954">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1D2194"/>
    <w:multiLevelType w:val="hybridMultilevel"/>
    <w:tmpl w:val="CFDA9506"/>
    <w:lvl w:ilvl="0" w:tplc="7CA42920">
      <w:start w:val="1"/>
      <w:numFmt w:val="bullet"/>
      <w:lvlText w:val=""/>
      <w:lvlJc w:val="left"/>
      <w:pPr>
        <w:tabs>
          <w:tab w:val="num" w:pos="720"/>
        </w:tabs>
        <w:ind w:left="720" w:hanging="360"/>
      </w:pPr>
      <w:rPr>
        <w:rFonts w:ascii="Symbol" w:hAnsi="Symbol" w:hint="default"/>
        <w:sz w:val="20"/>
      </w:rPr>
    </w:lvl>
    <w:lvl w:ilvl="1" w:tplc="F346886A">
      <w:start w:val="1"/>
      <w:numFmt w:val="bullet"/>
      <w:lvlText w:val="o"/>
      <w:lvlJc w:val="left"/>
      <w:pPr>
        <w:tabs>
          <w:tab w:val="num" w:pos="1440"/>
        </w:tabs>
        <w:ind w:left="1440" w:hanging="360"/>
      </w:pPr>
      <w:rPr>
        <w:rFonts w:ascii="Courier New" w:hAnsi="Courier New" w:hint="default"/>
        <w:sz w:val="20"/>
      </w:rPr>
    </w:lvl>
    <w:lvl w:ilvl="2" w:tplc="F192359E">
      <w:start w:val="1"/>
      <w:numFmt w:val="bullet"/>
      <w:lvlText w:val=""/>
      <w:lvlJc w:val="left"/>
      <w:pPr>
        <w:tabs>
          <w:tab w:val="num" w:pos="2160"/>
        </w:tabs>
        <w:ind w:left="2160" w:hanging="360"/>
      </w:pPr>
      <w:rPr>
        <w:rFonts w:ascii="Wingdings" w:hAnsi="Wingdings" w:hint="default"/>
        <w:sz w:val="20"/>
      </w:rPr>
    </w:lvl>
    <w:lvl w:ilvl="3" w:tplc="583437A2">
      <w:start w:val="1"/>
      <w:numFmt w:val="bullet"/>
      <w:lvlText w:val=""/>
      <w:lvlJc w:val="left"/>
      <w:pPr>
        <w:tabs>
          <w:tab w:val="num" w:pos="2880"/>
        </w:tabs>
        <w:ind w:left="2880" w:hanging="360"/>
      </w:pPr>
      <w:rPr>
        <w:rFonts w:ascii="Wingdings" w:hAnsi="Wingdings" w:hint="default"/>
        <w:sz w:val="20"/>
      </w:rPr>
    </w:lvl>
    <w:lvl w:ilvl="4" w:tplc="A36CFAA6">
      <w:start w:val="1"/>
      <w:numFmt w:val="bullet"/>
      <w:lvlText w:val=""/>
      <w:lvlJc w:val="left"/>
      <w:pPr>
        <w:tabs>
          <w:tab w:val="num" w:pos="3600"/>
        </w:tabs>
        <w:ind w:left="3600" w:hanging="360"/>
      </w:pPr>
      <w:rPr>
        <w:rFonts w:ascii="Wingdings" w:hAnsi="Wingdings" w:hint="default"/>
        <w:sz w:val="20"/>
      </w:rPr>
    </w:lvl>
    <w:lvl w:ilvl="5" w:tplc="72BE4BCA">
      <w:start w:val="1"/>
      <w:numFmt w:val="bullet"/>
      <w:lvlText w:val=""/>
      <w:lvlJc w:val="left"/>
      <w:pPr>
        <w:tabs>
          <w:tab w:val="num" w:pos="4320"/>
        </w:tabs>
        <w:ind w:left="4320" w:hanging="360"/>
      </w:pPr>
      <w:rPr>
        <w:rFonts w:ascii="Wingdings" w:hAnsi="Wingdings" w:hint="default"/>
        <w:sz w:val="20"/>
      </w:rPr>
    </w:lvl>
    <w:lvl w:ilvl="6" w:tplc="F5E27106">
      <w:start w:val="1"/>
      <w:numFmt w:val="bullet"/>
      <w:lvlText w:val=""/>
      <w:lvlJc w:val="left"/>
      <w:pPr>
        <w:tabs>
          <w:tab w:val="num" w:pos="5040"/>
        </w:tabs>
        <w:ind w:left="5040" w:hanging="360"/>
      </w:pPr>
      <w:rPr>
        <w:rFonts w:ascii="Wingdings" w:hAnsi="Wingdings" w:hint="default"/>
        <w:sz w:val="20"/>
      </w:rPr>
    </w:lvl>
    <w:lvl w:ilvl="7" w:tplc="96F83FD4">
      <w:start w:val="1"/>
      <w:numFmt w:val="bullet"/>
      <w:lvlText w:val=""/>
      <w:lvlJc w:val="left"/>
      <w:pPr>
        <w:tabs>
          <w:tab w:val="num" w:pos="5760"/>
        </w:tabs>
        <w:ind w:left="5760" w:hanging="360"/>
      </w:pPr>
      <w:rPr>
        <w:rFonts w:ascii="Wingdings" w:hAnsi="Wingdings" w:hint="default"/>
        <w:sz w:val="20"/>
      </w:rPr>
    </w:lvl>
    <w:lvl w:ilvl="8" w:tplc="133AF6CC">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25686A"/>
    <w:multiLevelType w:val="hybridMultilevel"/>
    <w:tmpl w:val="085AB4EE"/>
    <w:lvl w:ilvl="0" w:tplc="A03CA7FE">
      <w:start w:val="1"/>
      <w:numFmt w:val="bullet"/>
      <w:lvlText w:val=""/>
      <w:lvlJc w:val="left"/>
      <w:pPr>
        <w:tabs>
          <w:tab w:val="num" w:pos="720"/>
        </w:tabs>
        <w:ind w:left="720" w:hanging="360"/>
      </w:pPr>
      <w:rPr>
        <w:rFonts w:ascii="Symbol" w:hAnsi="Symbol" w:hint="default"/>
        <w:sz w:val="20"/>
      </w:rPr>
    </w:lvl>
    <w:lvl w:ilvl="1" w:tplc="65C003A4">
      <w:start w:val="1"/>
      <w:numFmt w:val="bullet"/>
      <w:lvlText w:val="o"/>
      <w:lvlJc w:val="left"/>
      <w:pPr>
        <w:tabs>
          <w:tab w:val="num" w:pos="1440"/>
        </w:tabs>
        <w:ind w:left="1440" w:hanging="360"/>
      </w:pPr>
      <w:rPr>
        <w:rFonts w:ascii="Courier New" w:hAnsi="Courier New" w:hint="default"/>
        <w:sz w:val="20"/>
      </w:rPr>
    </w:lvl>
    <w:lvl w:ilvl="2" w:tplc="0F6AD6C0">
      <w:start w:val="1"/>
      <w:numFmt w:val="bullet"/>
      <w:lvlText w:val=""/>
      <w:lvlJc w:val="left"/>
      <w:pPr>
        <w:tabs>
          <w:tab w:val="num" w:pos="2160"/>
        </w:tabs>
        <w:ind w:left="2160" w:hanging="360"/>
      </w:pPr>
      <w:rPr>
        <w:rFonts w:ascii="Wingdings" w:hAnsi="Wingdings" w:hint="default"/>
        <w:sz w:val="20"/>
      </w:rPr>
    </w:lvl>
    <w:lvl w:ilvl="3" w:tplc="1194AC32">
      <w:start w:val="1"/>
      <w:numFmt w:val="bullet"/>
      <w:lvlText w:val=""/>
      <w:lvlJc w:val="left"/>
      <w:pPr>
        <w:tabs>
          <w:tab w:val="num" w:pos="2880"/>
        </w:tabs>
        <w:ind w:left="2880" w:hanging="360"/>
      </w:pPr>
      <w:rPr>
        <w:rFonts w:ascii="Wingdings" w:hAnsi="Wingdings" w:hint="default"/>
        <w:sz w:val="20"/>
      </w:rPr>
    </w:lvl>
    <w:lvl w:ilvl="4" w:tplc="782EFCB8">
      <w:start w:val="1"/>
      <w:numFmt w:val="bullet"/>
      <w:lvlText w:val=""/>
      <w:lvlJc w:val="left"/>
      <w:pPr>
        <w:tabs>
          <w:tab w:val="num" w:pos="3600"/>
        </w:tabs>
        <w:ind w:left="3600" w:hanging="360"/>
      </w:pPr>
      <w:rPr>
        <w:rFonts w:ascii="Wingdings" w:hAnsi="Wingdings" w:hint="default"/>
        <w:sz w:val="20"/>
      </w:rPr>
    </w:lvl>
    <w:lvl w:ilvl="5" w:tplc="B7C8E146">
      <w:start w:val="1"/>
      <w:numFmt w:val="bullet"/>
      <w:lvlText w:val=""/>
      <w:lvlJc w:val="left"/>
      <w:pPr>
        <w:tabs>
          <w:tab w:val="num" w:pos="4320"/>
        </w:tabs>
        <w:ind w:left="4320" w:hanging="360"/>
      </w:pPr>
      <w:rPr>
        <w:rFonts w:ascii="Wingdings" w:hAnsi="Wingdings" w:hint="default"/>
        <w:sz w:val="20"/>
      </w:rPr>
    </w:lvl>
    <w:lvl w:ilvl="6" w:tplc="F0CECF5E">
      <w:start w:val="1"/>
      <w:numFmt w:val="bullet"/>
      <w:lvlText w:val=""/>
      <w:lvlJc w:val="left"/>
      <w:pPr>
        <w:tabs>
          <w:tab w:val="num" w:pos="5040"/>
        </w:tabs>
        <w:ind w:left="5040" w:hanging="360"/>
      </w:pPr>
      <w:rPr>
        <w:rFonts w:ascii="Wingdings" w:hAnsi="Wingdings" w:hint="default"/>
        <w:sz w:val="20"/>
      </w:rPr>
    </w:lvl>
    <w:lvl w:ilvl="7" w:tplc="CC848A5C">
      <w:start w:val="1"/>
      <w:numFmt w:val="bullet"/>
      <w:lvlText w:val=""/>
      <w:lvlJc w:val="left"/>
      <w:pPr>
        <w:tabs>
          <w:tab w:val="num" w:pos="5760"/>
        </w:tabs>
        <w:ind w:left="5760" w:hanging="360"/>
      </w:pPr>
      <w:rPr>
        <w:rFonts w:ascii="Wingdings" w:hAnsi="Wingdings" w:hint="default"/>
        <w:sz w:val="20"/>
      </w:rPr>
    </w:lvl>
    <w:lvl w:ilvl="8" w:tplc="6DAE4942">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2A6AC9"/>
    <w:multiLevelType w:val="hybridMultilevel"/>
    <w:tmpl w:val="F25AF4FC"/>
    <w:lvl w:ilvl="0" w:tplc="07DE1438">
      <w:start w:val="1"/>
      <w:numFmt w:val="bullet"/>
      <w:lvlText w:val=""/>
      <w:lvlJc w:val="left"/>
      <w:pPr>
        <w:tabs>
          <w:tab w:val="num" w:pos="720"/>
        </w:tabs>
        <w:ind w:left="720" w:hanging="360"/>
      </w:pPr>
      <w:rPr>
        <w:rFonts w:ascii="Symbol" w:hAnsi="Symbol" w:hint="default"/>
        <w:sz w:val="20"/>
      </w:rPr>
    </w:lvl>
    <w:lvl w:ilvl="1" w:tplc="EA5A3F02">
      <w:start w:val="1"/>
      <w:numFmt w:val="bullet"/>
      <w:lvlText w:val="o"/>
      <w:lvlJc w:val="left"/>
      <w:pPr>
        <w:tabs>
          <w:tab w:val="num" w:pos="1440"/>
        </w:tabs>
        <w:ind w:left="1440" w:hanging="360"/>
      </w:pPr>
      <w:rPr>
        <w:rFonts w:ascii="Courier New" w:hAnsi="Courier New" w:hint="default"/>
        <w:sz w:val="20"/>
      </w:rPr>
    </w:lvl>
    <w:lvl w:ilvl="2" w:tplc="9C6ED518">
      <w:start w:val="1"/>
      <w:numFmt w:val="bullet"/>
      <w:lvlText w:val=""/>
      <w:lvlJc w:val="left"/>
      <w:pPr>
        <w:tabs>
          <w:tab w:val="num" w:pos="2160"/>
        </w:tabs>
        <w:ind w:left="2160" w:hanging="360"/>
      </w:pPr>
      <w:rPr>
        <w:rFonts w:ascii="Wingdings" w:hAnsi="Wingdings" w:hint="default"/>
        <w:sz w:val="20"/>
      </w:rPr>
    </w:lvl>
    <w:lvl w:ilvl="3" w:tplc="8C2C01FA">
      <w:start w:val="1"/>
      <w:numFmt w:val="bullet"/>
      <w:lvlText w:val=""/>
      <w:lvlJc w:val="left"/>
      <w:pPr>
        <w:tabs>
          <w:tab w:val="num" w:pos="2880"/>
        </w:tabs>
        <w:ind w:left="2880" w:hanging="360"/>
      </w:pPr>
      <w:rPr>
        <w:rFonts w:ascii="Wingdings" w:hAnsi="Wingdings" w:hint="default"/>
        <w:sz w:val="20"/>
      </w:rPr>
    </w:lvl>
    <w:lvl w:ilvl="4" w:tplc="3B686ED8">
      <w:start w:val="1"/>
      <w:numFmt w:val="bullet"/>
      <w:lvlText w:val=""/>
      <w:lvlJc w:val="left"/>
      <w:pPr>
        <w:tabs>
          <w:tab w:val="num" w:pos="3600"/>
        </w:tabs>
        <w:ind w:left="3600" w:hanging="360"/>
      </w:pPr>
      <w:rPr>
        <w:rFonts w:ascii="Wingdings" w:hAnsi="Wingdings" w:hint="default"/>
        <w:sz w:val="20"/>
      </w:rPr>
    </w:lvl>
    <w:lvl w:ilvl="5" w:tplc="C34E168E">
      <w:start w:val="1"/>
      <w:numFmt w:val="bullet"/>
      <w:lvlText w:val=""/>
      <w:lvlJc w:val="left"/>
      <w:pPr>
        <w:tabs>
          <w:tab w:val="num" w:pos="4320"/>
        </w:tabs>
        <w:ind w:left="4320" w:hanging="360"/>
      </w:pPr>
      <w:rPr>
        <w:rFonts w:ascii="Wingdings" w:hAnsi="Wingdings" w:hint="default"/>
        <w:sz w:val="20"/>
      </w:rPr>
    </w:lvl>
    <w:lvl w:ilvl="6" w:tplc="8E4EE71A">
      <w:start w:val="1"/>
      <w:numFmt w:val="bullet"/>
      <w:lvlText w:val=""/>
      <w:lvlJc w:val="left"/>
      <w:pPr>
        <w:tabs>
          <w:tab w:val="num" w:pos="5040"/>
        </w:tabs>
        <w:ind w:left="5040" w:hanging="360"/>
      </w:pPr>
      <w:rPr>
        <w:rFonts w:ascii="Wingdings" w:hAnsi="Wingdings" w:hint="default"/>
        <w:sz w:val="20"/>
      </w:rPr>
    </w:lvl>
    <w:lvl w:ilvl="7" w:tplc="4CDCE818">
      <w:start w:val="1"/>
      <w:numFmt w:val="bullet"/>
      <w:lvlText w:val=""/>
      <w:lvlJc w:val="left"/>
      <w:pPr>
        <w:tabs>
          <w:tab w:val="num" w:pos="5760"/>
        </w:tabs>
        <w:ind w:left="5760" w:hanging="360"/>
      </w:pPr>
      <w:rPr>
        <w:rFonts w:ascii="Wingdings" w:hAnsi="Wingdings" w:hint="default"/>
        <w:sz w:val="20"/>
      </w:rPr>
    </w:lvl>
    <w:lvl w:ilvl="8" w:tplc="884404E0">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349"/>
    <w:rsid w:val="000222F2"/>
    <w:rsid w:val="000427CB"/>
    <w:rsid w:val="000528BF"/>
    <w:rsid w:val="00056CD0"/>
    <w:rsid w:val="00062089"/>
    <w:rsid w:val="000A3ED0"/>
    <w:rsid w:val="000C2AFB"/>
    <w:rsid w:val="000C61EE"/>
    <w:rsid w:val="000E3D99"/>
    <w:rsid w:val="00110BA0"/>
    <w:rsid w:val="0016416A"/>
    <w:rsid w:val="001841EC"/>
    <w:rsid w:val="001D7CFA"/>
    <w:rsid w:val="001E68F2"/>
    <w:rsid w:val="001F5A99"/>
    <w:rsid w:val="001F75BB"/>
    <w:rsid w:val="00243FB1"/>
    <w:rsid w:val="00256FDD"/>
    <w:rsid w:val="002630F7"/>
    <w:rsid w:val="00280E19"/>
    <w:rsid w:val="00291751"/>
    <w:rsid w:val="00295ACA"/>
    <w:rsid w:val="002F6426"/>
    <w:rsid w:val="00315B9C"/>
    <w:rsid w:val="00343004"/>
    <w:rsid w:val="00353E38"/>
    <w:rsid w:val="003771F0"/>
    <w:rsid w:val="003840BE"/>
    <w:rsid w:val="00391BB1"/>
    <w:rsid w:val="003A2184"/>
    <w:rsid w:val="003A27C2"/>
    <w:rsid w:val="003C7E46"/>
    <w:rsid w:val="003F3571"/>
    <w:rsid w:val="00414A54"/>
    <w:rsid w:val="0045133A"/>
    <w:rsid w:val="0047322F"/>
    <w:rsid w:val="00473B6F"/>
    <w:rsid w:val="004B6A46"/>
    <w:rsid w:val="004D696C"/>
    <w:rsid w:val="004F022C"/>
    <w:rsid w:val="00504AE9"/>
    <w:rsid w:val="00543A21"/>
    <w:rsid w:val="0061095E"/>
    <w:rsid w:val="00620470"/>
    <w:rsid w:val="006232A7"/>
    <w:rsid w:val="00656E16"/>
    <w:rsid w:val="00662C74"/>
    <w:rsid w:val="006975FE"/>
    <w:rsid w:val="006A4D81"/>
    <w:rsid w:val="006B378B"/>
    <w:rsid w:val="007273C1"/>
    <w:rsid w:val="00773E79"/>
    <w:rsid w:val="007C7A14"/>
    <w:rsid w:val="007E74FC"/>
    <w:rsid w:val="00860664"/>
    <w:rsid w:val="008623E5"/>
    <w:rsid w:val="008635DF"/>
    <w:rsid w:val="008A606A"/>
    <w:rsid w:val="008C0577"/>
    <w:rsid w:val="0092061E"/>
    <w:rsid w:val="0094611B"/>
    <w:rsid w:val="00980761"/>
    <w:rsid w:val="00994B6A"/>
    <w:rsid w:val="009B5349"/>
    <w:rsid w:val="00A27095"/>
    <w:rsid w:val="00A42636"/>
    <w:rsid w:val="00A733B2"/>
    <w:rsid w:val="00A84493"/>
    <w:rsid w:val="00AC4266"/>
    <w:rsid w:val="00AC4E40"/>
    <w:rsid w:val="00AC7B10"/>
    <w:rsid w:val="00AE1636"/>
    <w:rsid w:val="00AF61EF"/>
    <w:rsid w:val="00B00BF9"/>
    <w:rsid w:val="00B0142D"/>
    <w:rsid w:val="00B23949"/>
    <w:rsid w:val="00B7310A"/>
    <w:rsid w:val="00B73F40"/>
    <w:rsid w:val="00BA146B"/>
    <w:rsid w:val="00BA68A2"/>
    <w:rsid w:val="00BD3259"/>
    <w:rsid w:val="00BE15F4"/>
    <w:rsid w:val="00BE54D8"/>
    <w:rsid w:val="00C23027"/>
    <w:rsid w:val="00C45289"/>
    <w:rsid w:val="00C614E6"/>
    <w:rsid w:val="00C9094A"/>
    <w:rsid w:val="00CB4952"/>
    <w:rsid w:val="00CC2E65"/>
    <w:rsid w:val="00CD5187"/>
    <w:rsid w:val="00CF2874"/>
    <w:rsid w:val="00D24CE7"/>
    <w:rsid w:val="00D33792"/>
    <w:rsid w:val="00D7044C"/>
    <w:rsid w:val="00D767AE"/>
    <w:rsid w:val="00D85806"/>
    <w:rsid w:val="00D9650E"/>
    <w:rsid w:val="00DE2992"/>
    <w:rsid w:val="00E54318"/>
    <w:rsid w:val="00E72770"/>
    <w:rsid w:val="00E75657"/>
    <w:rsid w:val="00EA42C9"/>
    <w:rsid w:val="00EA45BF"/>
    <w:rsid w:val="00EF0DEF"/>
    <w:rsid w:val="00F67331"/>
    <w:rsid w:val="00F902E2"/>
    <w:rsid w:val="00FB01C3"/>
    <w:rsid w:val="00FB33BD"/>
    <w:rsid w:val="00FE48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83725"/>
  <w15:docId w15:val="{66369C08-98EC-4ED4-8811-E499FC819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14:ligatures w14:val="none"/>
    </w:rPr>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CaptionChar">
    <w:name w:val="Caption Char"/>
    <w:basedOn w:val="a0"/>
    <w:uiPriority w:val="35"/>
    <w:rPr>
      <w:b/>
      <w:bCs/>
      <w:color w:val="4472C4" w:themeColor="accent1"/>
      <w:sz w:val="18"/>
      <w:szCs w:val="18"/>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b">
    <w:name w:val="caption"/>
    <w:basedOn w:val="a"/>
    <w:next w:val="a"/>
    <w:link w:val="ac"/>
    <w:uiPriority w:val="35"/>
    <w:semiHidden/>
    <w:unhideWhenUsed/>
    <w:qFormat/>
    <w:rPr>
      <w:b/>
      <w:bCs/>
      <w:color w:val="4472C4" w:themeColor="accent1"/>
      <w:sz w:val="18"/>
      <w:szCs w:val="18"/>
    </w:rPr>
  </w:style>
  <w:style w:type="character" w:customStyle="1" w:styleId="ac">
    <w:name w:val="Название объекта Знак"/>
    <w:basedOn w:val="a0"/>
    <w:link w:val="ab"/>
    <w:uiPriority w:val="35"/>
    <w:rPr>
      <w:b/>
      <w:bCs/>
      <w:color w:val="4472C4" w:themeColor="accent1"/>
      <w:sz w:val="18"/>
      <w:szCs w:val="18"/>
    </w:rPr>
  </w:style>
  <w:style w:type="table" w:styleId="ad">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e">
    <w:name w:val="footnote text"/>
    <w:basedOn w:val="a"/>
    <w:link w:val="af"/>
    <w:uiPriority w:val="99"/>
    <w:semiHidden/>
    <w:unhideWhenUsed/>
    <w:pPr>
      <w:spacing w:after="40" w:line="240" w:lineRule="auto"/>
    </w:pPr>
    <w:rPr>
      <w:sz w:val="18"/>
    </w:rPr>
  </w:style>
  <w:style w:type="character" w:customStyle="1" w:styleId="af">
    <w:name w:val="Текст сноски Знак"/>
    <w:link w:val="ae"/>
    <w:uiPriority w:val="99"/>
    <w:rPr>
      <w:sz w:val="18"/>
    </w:rPr>
  </w:style>
  <w:style w:type="character" w:styleId="af0">
    <w:name w:val="footnote reference"/>
    <w:basedOn w:val="a0"/>
    <w:uiPriority w:val="99"/>
    <w:unhideWhenUsed/>
    <w:rPr>
      <w:vertAlign w:val="superscript"/>
    </w:rPr>
  </w:style>
  <w:style w:type="paragraph" w:styleId="af1">
    <w:name w:val="endnote text"/>
    <w:basedOn w:val="a"/>
    <w:link w:val="af2"/>
    <w:uiPriority w:val="99"/>
    <w:semiHidden/>
    <w:unhideWhenUsed/>
    <w:pPr>
      <w:spacing w:after="0" w:line="240" w:lineRule="auto"/>
    </w:pPr>
    <w:rPr>
      <w:sz w:val="20"/>
    </w:rPr>
  </w:style>
  <w:style w:type="character" w:customStyle="1" w:styleId="af2">
    <w:name w:val="Текст концевой сноски Знак"/>
    <w:link w:val="af1"/>
    <w:uiPriority w:val="99"/>
    <w:rPr>
      <w:sz w:val="20"/>
    </w:rPr>
  </w:style>
  <w:style w:type="character" w:styleId="af3">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4">
    <w:name w:val="TOC Heading"/>
    <w:uiPriority w:val="39"/>
    <w:unhideWhenUsed/>
  </w:style>
  <w:style w:type="paragraph" w:styleId="af5">
    <w:name w:val="table of figures"/>
    <w:basedOn w:val="a"/>
    <w:next w:val="a"/>
    <w:uiPriority w:val="99"/>
    <w:unhideWhenUsed/>
    <w:pPr>
      <w:spacing w:after="0"/>
    </w:pPr>
  </w:style>
  <w:style w:type="paragraph" w:styleId="af6">
    <w:name w:val="header"/>
    <w:basedOn w:val="a"/>
    <w:link w:val="af7"/>
    <w:uiPriority w:val="99"/>
    <w:unhideWhenUsed/>
    <w:pPr>
      <w:tabs>
        <w:tab w:val="center" w:pos="4677"/>
        <w:tab w:val="right" w:pos="9355"/>
      </w:tabs>
      <w:spacing w:after="0" w:line="240" w:lineRule="auto"/>
    </w:pPr>
    <w:rPr>
      <w14:ligatures w14:val="standardContextual"/>
    </w:rPr>
  </w:style>
  <w:style w:type="character" w:customStyle="1" w:styleId="af7">
    <w:name w:val="Верхний колонтитул Знак"/>
    <w:basedOn w:val="a0"/>
    <w:link w:val="af6"/>
    <w:uiPriority w:val="99"/>
  </w:style>
  <w:style w:type="paragraph" w:styleId="af8">
    <w:name w:val="footer"/>
    <w:basedOn w:val="a"/>
    <w:link w:val="af9"/>
    <w:uiPriority w:val="99"/>
    <w:unhideWhenUsed/>
    <w:pPr>
      <w:tabs>
        <w:tab w:val="center" w:pos="4677"/>
        <w:tab w:val="right" w:pos="9355"/>
      </w:tabs>
      <w:spacing w:after="0" w:line="240" w:lineRule="auto"/>
    </w:pPr>
    <w:rPr>
      <w14:ligatures w14:val="standardContextual"/>
    </w:rPr>
  </w:style>
  <w:style w:type="character" w:customStyle="1" w:styleId="af9">
    <w:name w:val="Нижний колонтитул Знак"/>
    <w:basedOn w:val="a0"/>
    <w:link w:val="af8"/>
    <w:uiPriority w:val="99"/>
  </w:style>
  <w:style w:type="character" w:styleId="afa">
    <w:name w:val="Hyperlink"/>
    <w:basedOn w:val="a0"/>
    <w:uiPriority w:val="99"/>
    <w:unhideWhenUsed/>
    <w:rPr>
      <w:color w:val="0000FF"/>
      <w:u w:val="single"/>
    </w:rPr>
  </w:style>
  <w:style w:type="character" w:styleId="afb">
    <w:name w:val="FollowedHyperlink"/>
    <w:basedOn w:val="a0"/>
    <w:uiPriority w:val="99"/>
    <w:semiHidden/>
    <w:unhideWhenUsed/>
    <w:rPr>
      <w:color w:val="954F72" w:themeColor="followedHyperlink"/>
      <w:u w:val="single"/>
    </w:rPr>
  </w:style>
  <w:style w:type="paragraph" w:styleId="afc">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Неразрешенное упоминание1"/>
    <w:basedOn w:val="a0"/>
    <w:uiPriority w:val="99"/>
    <w:semiHidden/>
    <w:unhideWhenUsed/>
    <w:rPr>
      <w:color w:val="605E5C"/>
      <w:shd w:val="clear" w:color="auto" w:fill="E1DFDD"/>
    </w:rPr>
  </w:style>
  <w:style w:type="paragraph" w:styleId="afd">
    <w:name w:val="Balloon Text"/>
    <w:basedOn w:val="a"/>
    <w:link w:val="afe"/>
    <w:uiPriority w:val="99"/>
    <w:semiHidden/>
    <w:unhideWhenUsed/>
    <w:pPr>
      <w:spacing w:after="0" w:line="240" w:lineRule="auto"/>
    </w:pPr>
    <w:rPr>
      <w:rFonts w:ascii="Segoe UI" w:hAnsi="Segoe UI" w:cs="Segoe UI"/>
      <w:sz w:val="18"/>
      <w:szCs w:val="18"/>
    </w:rPr>
  </w:style>
  <w:style w:type="character" w:customStyle="1" w:styleId="afe">
    <w:name w:val="Текст выноски Знак"/>
    <w:basedOn w:val="a0"/>
    <w:link w:val="afd"/>
    <w:uiPriority w:val="99"/>
    <w:semiHidden/>
    <w:rPr>
      <w:rFonts w:ascii="Segoe UI" w:hAnsi="Segoe UI" w:cs="Segoe UI"/>
      <w:sz w:val="18"/>
      <w:szCs w:val="18"/>
      <w14:ligatures w14:val="none"/>
    </w:rPr>
  </w:style>
  <w:style w:type="character" w:styleId="aff">
    <w:name w:val="Strong"/>
    <w:basedOn w:val="a0"/>
    <w:uiPriority w:val="22"/>
    <w:qFormat/>
    <w:rPr>
      <w:b/>
      <w:bCs/>
    </w:rPr>
  </w:style>
  <w:style w:type="character" w:styleId="aff0">
    <w:name w:val="Emphasis"/>
    <w:basedOn w:val="a0"/>
    <w:uiPriority w:val="20"/>
    <w:qFormat/>
    <w:rPr>
      <w:i/>
      <w:iCs/>
    </w:rPr>
  </w:style>
  <w:style w:type="character" w:customStyle="1" w:styleId="24">
    <w:name w:val="Неразрешенное упоминание2"/>
    <w:basedOn w:val="a0"/>
    <w:uiPriority w:val="99"/>
    <w:semiHidden/>
    <w:unhideWhenUsed/>
    <w:rPr>
      <w:color w:val="605E5C"/>
      <w:shd w:val="clear" w:color="auto" w:fill="E1DFDD"/>
    </w:rPr>
  </w:style>
  <w:style w:type="character" w:customStyle="1" w:styleId="33">
    <w:name w:val="Неразрешенное упоминание3"/>
    <w:basedOn w:val="a0"/>
    <w:uiPriority w:val="99"/>
    <w:semiHidden/>
    <w:unhideWhenUsed/>
    <w:rPr>
      <w:color w:val="605E5C"/>
      <w:shd w:val="clear" w:color="auto" w:fill="E1DFDD"/>
    </w:rPr>
  </w:style>
  <w:style w:type="character" w:customStyle="1" w:styleId="43">
    <w:name w:val="Неразрешенное упоминание4"/>
    <w:basedOn w:val="a0"/>
    <w:uiPriority w:val="99"/>
    <w:semiHidden/>
    <w:unhideWhenUsed/>
    <w:rsid w:val="008A606A"/>
    <w:rPr>
      <w:color w:val="605E5C"/>
      <w:shd w:val="clear" w:color="auto" w:fill="E1DFDD"/>
    </w:rPr>
  </w:style>
  <w:style w:type="paragraph" w:customStyle="1" w:styleId="ds-markdown-paragraph">
    <w:name w:val="ds-markdown-paragraph"/>
    <w:basedOn w:val="a"/>
    <w:rsid w:val="003771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1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08110">
      <w:bodyDiv w:val="1"/>
      <w:marLeft w:val="0"/>
      <w:marRight w:val="0"/>
      <w:marTop w:val="0"/>
      <w:marBottom w:val="0"/>
      <w:divBdr>
        <w:top w:val="none" w:sz="0" w:space="0" w:color="auto"/>
        <w:left w:val="none" w:sz="0" w:space="0" w:color="auto"/>
        <w:bottom w:val="none" w:sz="0" w:space="0" w:color="auto"/>
        <w:right w:val="none" w:sz="0" w:space="0" w:color="auto"/>
      </w:divBdr>
    </w:div>
    <w:div w:id="592325352">
      <w:bodyDiv w:val="1"/>
      <w:marLeft w:val="0"/>
      <w:marRight w:val="0"/>
      <w:marTop w:val="0"/>
      <w:marBottom w:val="0"/>
      <w:divBdr>
        <w:top w:val="none" w:sz="0" w:space="0" w:color="auto"/>
        <w:left w:val="none" w:sz="0" w:space="0" w:color="auto"/>
        <w:bottom w:val="none" w:sz="0" w:space="0" w:color="auto"/>
        <w:right w:val="none" w:sz="0" w:space="0" w:color="auto"/>
      </w:divBdr>
    </w:div>
    <w:div w:id="599603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104">
          <w:marLeft w:val="0"/>
          <w:marRight w:val="300"/>
          <w:marTop w:val="0"/>
          <w:marBottom w:val="300"/>
          <w:divBdr>
            <w:top w:val="none" w:sz="0" w:space="0" w:color="auto"/>
            <w:left w:val="none" w:sz="0" w:space="0" w:color="auto"/>
            <w:bottom w:val="none" w:sz="0" w:space="0" w:color="auto"/>
            <w:right w:val="none" w:sz="0" w:space="0" w:color="auto"/>
          </w:divBdr>
          <w:divsChild>
            <w:div w:id="1271821033">
              <w:marLeft w:val="0"/>
              <w:marRight w:val="0"/>
              <w:marTop w:val="0"/>
              <w:marBottom w:val="300"/>
              <w:divBdr>
                <w:top w:val="none" w:sz="0" w:space="0" w:color="auto"/>
                <w:left w:val="none" w:sz="0" w:space="0" w:color="auto"/>
                <w:bottom w:val="none" w:sz="0" w:space="0" w:color="auto"/>
                <w:right w:val="none" w:sz="0" w:space="0" w:color="auto"/>
              </w:divBdr>
              <w:divsChild>
                <w:div w:id="853612834">
                  <w:marLeft w:val="0"/>
                  <w:marRight w:val="0"/>
                  <w:marTop w:val="0"/>
                  <w:marBottom w:val="0"/>
                  <w:divBdr>
                    <w:top w:val="none" w:sz="0" w:space="0" w:color="auto"/>
                    <w:left w:val="none" w:sz="0" w:space="0" w:color="auto"/>
                    <w:bottom w:val="none" w:sz="0" w:space="0" w:color="auto"/>
                    <w:right w:val="none" w:sz="0" w:space="0" w:color="auto"/>
                  </w:divBdr>
                  <w:divsChild>
                    <w:div w:id="905258725">
                      <w:marLeft w:val="0"/>
                      <w:marRight w:val="0"/>
                      <w:marTop w:val="0"/>
                      <w:marBottom w:val="0"/>
                      <w:divBdr>
                        <w:top w:val="none" w:sz="0" w:space="0" w:color="auto"/>
                        <w:left w:val="none" w:sz="0" w:space="0" w:color="auto"/>
                        <w:bottom w:val="none" w:sz="0" w:space="0" w:color="auto"/>
                        <w:right w:val="none" w:sz="0" w:space="0" w:color="auto"/>
                      </w:divBdr>
                      <w:divsChild>
                        <w:div w:id="14753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854936">
          <w:marLeft w:val="0"/>
          <w:marRight w:val="0"/>
          <w:marTop w:val="0"/>
          <w:marBottom w:val="0"/>
          <w:divBdr>
            <w:top w:val="none" w:sz="0" w:space="0" w:color="auto"/>
            <w:left w:val="none" w:sz="0" w:space="0" w:color="auto"/>
            <w:bottom w:val="none" w:sz="0" w:space="0" w:color="auto"/>
            <w:right w:val="none" w:sz="0" w:space="0" w:color="auto"/>
          </w:divBdr>
        </w:div>
        <w:div w:id="1029336876">
          <w:marLeft w:val="0"/>
          <w:marRight w:val="0"/>
          <w:marTop w:val="0"/>
          <w:marBottom w:val="0"/>
          <w:divBdr>
            <w:top w:val="none" w:sz="0" w:space="0" w:color="auto"/>
            <w:left w:val="none" w:sz="0" w:space="0" w:color="auto"/>
            <w:bottom w:val="none" w:sz="0" w:space="0" w:color="auto"/>
            <w:right w:val="none" w:sz="0" w:space="0" w:color="auto"/>
          </w:divBdr>
        </w:div>
      </w:divsChild>
    </w:div>
    <w:div w:id="1587885058">
      <w:bodyDiv w:val="1"/>
      <w:marLeft w:val="0"/>
      <w:marRight w:val="0"/>
      <w:marTop w:val="0"/>
      <w:marBottom w:val="0"/>
      <w:divBdr>
        <w:top w:val="none" w:sz="0" w:space="0" w:color="auto"/>
        <w:left w:val="none" w:sz="0" w:space="0" w:color="auto"/>
        <w:bottom w:val="none" w:sz="0" w:space="0" w:color="auto"/>
        <w:right w:val="none" w:sz="0" w:space="0" w:color="auto"/>
      </w:divBdr>
      <w:divsChild>
        <w:div w:id="546524802">
          <w:marLeft w:val="0"/>
          <w:marRight w:val="300"/>
          <w:marTop w:val="0"/>
          <w:marBottom w:val="300"/>
          <w:divBdr>
            <w:top w:val="none" w:sz="0" w:space="0" w:color="auto"/>
            <w:left w:val="none" w:sz="0" w:space="0" w:color="auto"/>
            <w:bottom w:val="none" w:sz="0" w:space="0" w:color="auto"/>
            <w:right w:val="none" w:sz="0" w:space="0" w:color="auto"/>
          </w:divBdr>
          <w:divsChild>
            <w:div w:id="1389498023">
              <w:marLeft w:val="0"/>
              <w:marRight w:val="0"/>
              <w:marTop w:val="0"/>
              <w:marBottom w:val="300"/>
              <w:divBdr>
                <w:top w:val="none" w:sz="0" w:space="0" w:color="auto"/>
                <w:left w:val="none" w:sz="0" w:space="0" w:color="auto"/>
                <w:bottom w:val="none" w:sz="0" w:space="0" w:color="auto"/>
                <w:right w:val="none" w:sz="0" w:space="0" w:color="auto"/>
              </w:divBdr>
              <w:divsChild>
                <w:div w:id="1865946362">
                  <w:marLeft w:val="0"/>
                  <w:marRight w:val="0"/>
                  <w:marTop w:val="0"/>
                  <w:marBottom w:val="0"/>
                  <w:divBdr>
                    <w:top w:val="none" w:sz="0" w:space="0" w:color="auto"/>
                    <w:left w:val="none" w:sz="0" w:space="0" w:color="auto"/>
                    <w:bottom w:val="none" w:sz="0" w:space="0" w:color="auto"/>
                    <w:right w:val="none" w:sz="0" w:space="0" w:color="auto"/>
                  </w:divBdr>
                  <w:divsChild>
                    <w:div w:id="932860653">
                      <w:marLeft w:val="0"/>
                      <w:marRight w:val="0"/>
                      <w:marTop w:val="0"/>
                      <w:marBottom w:val="0"/>
                      <w:divBdr>
                        <w:top w:val="none" w:sz="0" w:space="0" w:color="auto"/>
                        <w:left w:val="none" w:sz="0" w:space="0" w:color="auto"/>
                        <w:bottom w:val="none" w:sz="0" w:space="0" w:color="auto"/>
                        <w:right w:val="none" w:sz="0" w:space="0" w:color="auto"/>
                      </w:divBdr>
                      <w:divsChild>
                        <w:div w:id="5761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46798">
          <w:marLeft w:val="0"/>
          <w:marRight w:val="0"/>
          <w:marTop w:val="0"/>
          <w:marBottom w:val="0"/>
          <w:divBdr>
            <w:top w:val="none" w:sz="0" w:space="0" w:color="auto"/>
            <w:left w:val="none" w:sz="0" w:space="0" w:color="auto"/>
            <w:bottom w:val="none" w:sz="0" w:space="0" w:color="auto"/>
            <w:right w:val="none" w:sz="0" w:space="0" w:color="auto"/>
          </w:divBdr>
        </w:div>
        <w:div w:id="331496144">
          <w:marLeft w:val="0"/>
          <w:marRight w:val="0"/>
          <w:marTop w:val="0"/>
          <w:marBottom w:val="0"/>
          <w:divBdr>
            <w:top w:val="none" w:sz="0" w:space="0" w:color="auto"/>
            <w:left w:val="none" w:sz="0" w:space="0" w:color="auto"/>
            <w:bottom w:val="none" w:sz="0" w:space="0" w:color="auto"/>
            <w:right w:val="none" w:sz="0" w:space="0" w:color="auto"/>
          </w:divBdr>
        </w:div>
      </w:divsChild>
    </w:div>
    <w:div w:id="205942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84;&#1086;&#1081;&#1073;&#1080;&#1079;&#1085;&#1077;&#1089;-24.&#1088;&#1092;/sections/mikrofinansirovanie/" TargetMode="External"/><Relationship Id="rId3" Type="http://schemas.openxmlformats.org/officeDocument/2006/relationships/settings" Target="settings.xml"/><Relationship Id="rId7" Type="http://schemas.openxmlformats.org/officeDocument/2006/relationships/hyperlink" Target="https://&#1084;&#1089;&#1087;.&#1088;&#1092;/services/monocities/prom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407</Words>
  <Characters>2322</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Пресс-служба</dc:creator>
  <cp:lastModifiedBy>User</cp:lastModifiedBy>
  <cp:revision>8</cp:revision>
  <cp:lastPrinted>2025-07-17T09:10:00Z</cp:lastPrinted>
  <dcterms:created xsi:type="dcterms:W3CDTF">2026-03-03T13:05:00Z</dcterms:created>
  <dcterms:modified xsi:type="dcterms:W3CDTF">2026-03-04T07:37:00Z</dcterms:modified>
</cp:coreProperties>
</file>